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CF7745" w:rsidRPr="00CF7745" w14:paraId="363996D9" w14:textId="77777777">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495498C8" w14:textId="77777777" w:rsidR="00CF7745" w:rsidRPr="00CF7745" w:rsidRDefault="00CF7745" w:rsidP="00CF7745">
            <w:r w:rsidRPr="00CF7745">
              <w:t>4 Eylül 2025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4D761A14" w14:textId="77777777" w:rsidR="00CF7745" w:rsidRPr="00CF7745" w:rsidRDefault="00CF7745" w:rsidP="00CF7745">
            <w:r w:rsidRPr="00CF7745">
              <w:rPr>
                <w:b/>
                <w:bCs/>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46D360E9" w14:textId="77777777" w:rsidR="00CF7745" w:rsidRPr="00CF7745" w:rsidRDefault="00CF7745" w:rsidP="00CF7745">
            <w:proofErr w:type="gramStart"/>
            <w:r w:rsidRPr="00CF7745">
              <w:t>Sayı :</w:t>
            </w:r>
            <w:proofErr w:type="gramEnd"/>
            <w:r w:rsidRPr="00CF7745">
              <w:t xml:space="preserve"> 33007</w:t>
            </w:r>
          </w:p>
        </w:tc>
      </w:tr>
      <w:tr w:rsidR="00CF7745" w:rsidRPr="00CF7745" w14:paraId="35FAF622" w14:textId="77777777">
        <w:trPr>
          <w:trHeight w:val="480"/>
        </w:trPr>
        <w:tc>
          <w:tcPr>
            <w:tcW w:w="8789" w:type="dxa"/>
            <w:gridSpan w:val="3"/>
            <w:tcMar>
              <w:top w:w="0" w:type="dxa"/>
              <w:left w:w="108" w:type="dxa"/>
              <w:bottom w:w="0" w:type="dxa"/>
              <w:right w:w="108" w:type="dxa"/>
            </w:tcMar>
            <w:vAlign w:val="center"/>
            <w:hideMark/>
          </w:tcPr>
          <w:p w14:paraId="5A5CD241" w14:textId="77777777" w:rsidR="00CF7745" w:rsidRPr="00CF7745" w:rsidRDefault="00CF7745" w:rsidP="00CF7745">
            <w:pPr>
              <w:jc w:val="center"/>
            </w:pPr>
            <w:r w:rsidRPr="00CF7745">
              <w:rPr>
                <w:b/>
                <w:bCs/>
              </w:rPr>
              <w:t>TEBLİĞ</w:t>
            </w:r>
          </w:p>
        </w:tc>
      </w:tr>
      <w:tr w:rsidR="00CF7745" w:rsidRPr="00CF7745" w14:paraId="3DC47809" w14:textId="77777777">
        <w:trPr>
          <w:trHeight w:val="480"/>
        </w:trPr>
        <w:tc>
          <w:tcPr>
            <w:tcW w:w="8789" w:type="dxa"/>
            <w:gridSpan w:val="3"/>
            <w:tcMar>
              <w:top w:w="0" w:type="dxa"/>
              <w:left w:w="108" w:type="dxa"/>
              <w:bottom w:w="0" w:type="dxa"/>
              <w:right w:w="108" w:type="dxa"/>
            </w:tcMar>
            <w:vAlign w:val="center"/>
            <w:hideMark/>
          </w:tcPr>
          <w:p w14:paraId="77C14D1E" w14:textId="77777777" w:rsidR="00CF7745" w:rsidRPr="00CF7745" w:rsidRDefault="00CF7745" w:rsidP="00CF7745">
            <w:pPr>
              <w:jc w:val="both"/>
              <w:rPr>
                <w:u w:val="single"/>
              </w:rPr>
            </w:pPr>
            <w:r w:rsidRPr="00CF7745">
              <w:rPr>
                <w:u w:val="single"/>
              </w:rPr>
              <w:t>Hazine ve Maliye Bakanlığı (Gelir İdaresi Başkanlığı)’</w:t>
            </w:r>
            <w:proofErr w:type="spellStart"/>
            <w:r w:rsidRPr="00CF7745">
              <w:rPr>
                <w:u w:val="single"/>
              </w:rPr>
              <w:t>ndan</w:t>
            </w:r>
            <w:proofErr w:type="spellEnd"/>
            <w:r w:rsidRPr="00CF7745">
              <w:rPr>
                <w:u w:val="single"/>
              </w:rPr>
              <w:t>:</w:t>
            </w:r>
          </w:p>
          <w:p w14:paraId="4DB85EC6" w14:textId="77777777" w:rsidR="00CF7745" w:rsidRPr="00CF7745" w:rsidRDefault="00CF7745" w:rsidP="00CF7745">
            <w:pPr>
              <w:jc w:val="center"/>
              <w:rPr>
                <w:b/>
                <w:bCs/>
              </w:rPr>
            </w:pPr>
            <w:r w:rsidRPr="00CF7745">
              <w:rPr>
                <w:b/>
                <w:bCs/>
              </w:rPr>
              <w:t>ÖZEL TÜKETİM VERGİSİ (II) SAYILI LİSTE UYGULAMA GENEL</w:t>
            </w:r>
          </w:p>
          <w:p w14:paraId="3518BAE8" w14:textId="77777777" w:rsidR="00CF7745" w:rsidRPr="00CF7745" w:rsidRDefault="00CF7745" w:rsidP="00CF7745">
            <w:pPr>
              <w:jc w:val="center"/>
              <w:rPr>
                <w:b/>
                <w:bCs/>
              </w:rPr>
            </w:pPr>
            <w:r w:rsidRPr="00CF7745">
              <w:rPr>
                <w:b/>
                <w:bCs/>
              </w:rPr>
              <w:t>TEBLİĞİNDE DEĞİŞİKLİK YAPILMASINA DAİR TEBLİĞ</w:t>
            </w:r>
          </w:p>
          <w:p w14:paraId="10C71C1E" w14:textId="77777777" w:rsidR="00CF7745" w:rsidRPr="00CF7745" w:rsidRDefault="00CF7745" w:rsidP="00CF7745">
            <w:pPr>
              <w:jc w:val="center"/>
              <w:rPr>
                <w:b/>
                <w:bCs/>
              </w:rPr>
            </w:pPr>
            <w:r w:rsidRPr="00CF7745">
              <w:rPr>
                <w:b/>
                <w:bCs/>
              </w:rPr>
              <w:t>(SERİ NO: 15)</w:t>
            </w:r>
          </w:p>
          <w:p w14:paraId="418E6977" w14:textId="77777777" w:rsidR="00CF7745" w:rsidRPr="00CF7745" w:rsidRDefault="00CF7745" w:rsidP="00CF7745">
            <w:pPr>
              <w:jc w:val="both"/>
            </w:pPr>
            <w:r w:rsidRPr="00CF7745">
              <w:rPr>
                <w:b/>
                <w:bCs/>
              </w:rPr>
              <w:t>MADDE 1-</w:t>
            </w:r>
            <w:r w:rsidRPr="00CF7745">
              <w:t> 18/4/2015 tarihli ve 29330 sayılı Resmî Gazete’de yayımlanan Özel Tüketim Vergisi (II) Sayılı Liste Uygulama Genel Tebliğinin (II/C/4) bölümünden sonra gelmek üzere başlığıyla birlikte aşağıdaki bölüm eklenmiş ve takip eden bölümler buna göre teselsül ettirilmiştir.</w:t>
            </w:r>
          </w:p>
          <w:p w14:paraId="0F70C769" w14:textId="77777777" w:rsidR="00CF7745" w:rsidRPr="00CF7745" w:rsidRDefault="00CF7745" w:rsidP="00CF7745">
            <w:pPr>
              <w:jc w:val="both"/>
            </w:pPr>
            <w:r w:rsidRPr="00CF7745">
              <w:t>“</w:t>
            </w:r>
            <w:r w:rsidRPr="00CF7745">
              <w:rPr>
                <w:b/>
                <w:bCs/>
              </w:rPr>
              <w:t>5. Ulusal Güvenlik Kuruluşlarının Alımlarında İstisna</w:t>
            </w:r>
          </w:p>
          <w:p w14:paraId="749EBE10" w14:textId="77777777" w:rsidR="00CF7745" w:rsidRPr="00CF7745" w:rsidRDefault="00CF7745" w:rsidP="00CF7745">
            <w:pPr>
              <w:jc w:val="both"/>
            </w:pPr>
            <w:r w:rsidRPr="00CF7745">
              <w:rPr>
                <w:b/>
                <w:bCs/>
              </w:rPr>
              <w:t>5.1. Kapsam</w:t>
            </w:r>
          </w:p>
          <w:p w14:paraId="08EE717D" w14:textId="77777777" w:rsidR="00CF7745" w:rsidRPr="00CF7745" w:rsidRDefault="00CF7745" w:rsidP="00CF7745">
            <w:pPr>
              <w:jc w:val="both"/>
            </w:pPr>
            <w:r w:rsidRPr="00CF7745">
              <w:t xml:space="preserve">Özel Tüketim Vergisi Kanununun </w:t>
            </w:r>
            <w:proofErr w:type="gramStart"/>
            <w:r w:rsidRPr="00CF7745">
              <w:t>7 nci</w:t>
            </w:r>
            <w:proofErr w:type="gramEnd"/>
            <w:r w:rsidRPr="00CF7745">
              <w:t xml:space="preserve"> maddesinin birinci fıkrasının (3) numaralı bendinin (ç) alt bendine göre, Kanuna ekli (II) sayılı listede yer alan ve yerli katkı oranı en az %40 olan mallar ile 87.03 G.T.İ.P. numarasında yer alan “- Yük taşımasında kullanılıp azami ağırlığı 3,5 tonu aşmayan ve yolcu taşıma kapasitesi (Yolcu taşıma kapasitesi sürücü dahil toplam yolcu sayısının 70 kilogramla çarpılması suretiyle hesaplanır. Bu hesaplamada koltuk olmasa dahi, koltuk montajı için bulunan sabit tertibatlar da koltuk olarak dikkate alınır) istiap haddinin (bir aracın güvenle taşıyabileceği sürücü ve yolcu dahil toplam yük ağırlığı) %50’sinin altında olan motorlu araçlardan (bütün tekerlekleri motordan güç alan veya alabilenler, binek otomobilleri, steyşın vagonlar, yarış arabaları, arazi taşıtları hariç)” satırındaki motorlu taşıtların, 87.04 ve 87.11 G.T.İ.P. numaralarında yer alan taşıtların, Millî Savunma Bakanlığı, İçişleri Bakanlığı, Savunma Sanayii Başkanlığı ve Millî İstihbarat Teşkilatı Başkanlığı tarafından münhasıran millî savunma ve iç güvenlik ihtiyaçlarında kullanılmak üzere ilk iktisabı ÖTV’den müstesnadır.</w:t>
            </w:r>
          </w:p>
          <w:p w14:paraId="3E847DAF" w14:textId="77777777" w:rsidR="00CF7745" w:rsidRPr="00CF7745" w:rsidRDefault="00CF7745" w:rsidP="00CF7745">
            <w:pPr>
              <w:jc w:val="both"/>
            </w:pPr>
            <w:r w:rsidRPr="00CF7745">
              <w:rPr>
                <w:b/>
                <w:bCs/>
              </w:rPr>
              <w:t>5.2. İstisna Uygulaması</w:t>
            </w:r>
          </w:p>
          <w:p w14:paraId="7BD68208" w14:textId="77777777" w:rsidR="00CF7745" w:rsidRPr="00CF7745" w:rsidRDefault="00CF7745" w:rsidP="00CF7745">
            <w:pPr>
              <w:jc w:val="both"/>
            </w:pPr>
            <w:r w:rsidRPr="00CF7745">
              <w:t>Bu istisna;</w:t>
            </w:r>
          </w:p>
          <w:p w14:paraId="6F47567A" w14:textId="77777777" w:rsidR="00CF7745" w:rsidRPr="00CF7745" w:rsidRDefault="00CF7745" w:rsidP="00CF7745">
            <w:pPr>
              <w:jc w:val="both"/>
            </w:pPr>
            <w:r w:rsidRPr="00CF7745">
              <w:t>- Millî Savunma Bakanlığı,</w:t>
            </w:r>
          </w:p>
          <w:p w14:paraId="1ECD83FA" w14:textId="77777777" w:rsidR="00CF7745" w:rsidRPr="00CF7745" w:rsidRDefault="00CF7745" w:rsidP="00CF7745">
            <w:pPr>
              <w:jc w:val="both"/>
            </w:pPr>
            <w:r w:rsidRPr="00CF7745">
              <w:t>- İçişleri Bakanlığı,</w:t>
            </w:r>
          </w:p>
          <w:p w14:paraId="4D4CD8D3" w14:textId="77777777" w:rsidR="00CF7745" w:rsidRPr="00CF7745" w:rsidRDefault="00CF7745" w:rsidP="00CF7745">
            <w:pPr>
              <w:jc w:val="both"/>
            </w:pPr>
            <w:r w:rsidRPr="00CF7745">
              <w:t>- Savunma Sanayii Başkanlığı,</w:t>
            </w:r>
          </w:p>
          <w:p w14:paraId="1826E9AD" w14:textId="77777777" w:rsidR="00CF7745" w:rsidRPr="00CF7745" w:rsidRDefault="00CF7745" w:rsidP="00CF7745">
            <w:pPr>
              <w:jc w:val="both"/>
            </w:pPr>
            <w:r w:rsidRPr="00CF7745">
              <w:t xml:space="preserve">- </w:t>
            </w:r>
            <w:proofErr w:type="gramStart"/>
            <w:r w:rsidRPr="00CF7745">
              <w:t>Milli</w:t>
            </w:r>
            <w:proofErr w:type="gramEnd"/>
            <w:r w:rsidRPr="00CF7745">
              <w:t xml:space="preserve"> İstihbarat </w:t>
            </w:r>
            <w:proofErr w:type="gramStart"/>
            <w:r w:rsidRPr="00CF7745">
              <w:t>Teşkilatı</w:t>
            </w:r>
            <w:proofErr w:type="gramEnd"/>
            <w:r w:rsidRPr="00CF7745">
              <w:t xml:space="preserve"> Başkanlığınca,</w:t>
            </w:r>
          </w:p>
          <w:p w14:paraId="27DF4F37" w14:textId="77777777" w:rsidR="00CF7745" w:rsidRPr="00CF7745" w:rsidRDefault="00CF7745" w:rsidP="00CF7745">
            <w:pPr>
              <w:jc w:val="both"/>
            </w:pPr>
            <w:r w:rsidRPr="00CF7745">
              <w:lastRenderedPageBreak/>
              <w:t>(Bu kurum ve kuruluşlar “ulusal güvenlik kuruluşları” olarak adlandırılacaktır.)  </w:t>
            </w:r>
            <w:proofErr w:type="gramStart"/>
            <w:r w:rsidRPr="00CF7745">
              <w:t>detayları</w:t>
            </w:r>
            <w:proofErr w:type="gramEnd"/>
            <w:r w:rsidRPr="00CF7745">
              <w:t xml:space="preserve"> aşağıda belirtilen taşıtların ilk iktisabında uygulanır.</w:t>
            </w:r>
          </w:p>
          <w:p w14:paraId="3CEEC1C1" w14:textId="77777777" w:rsidR="00CF7745" w:rsidRPr="00CF7745" w:rsidRDefault="00CF7745" w:rsidP="00CF7745">
            <w:pPr>
              <w:jc w:val="both"/>
            </w:pPr>
            <w:r w:rsidRPr="00CF7745">
              <w:t>İstisnanın kapsamına ulusal güvenlik kuruluşlarının Kanuna ekli;</w:t>
            </w:r>
          </w:p>
          <w:p w14:paraId="2E8BDB9C" w14:textId="77777777" w:rsidR="00CF7745" w:rsidRPr="00CF7745" w:rsidRDefault="00CF7745" w:rsidP="00CF7745">
            <w:pPr>
              <w:jc w:val="both"/>
            </w:pPr>
            <w:r w:rsidRPr="00CF7745">
              <w:t>• (II) sayılı listede yer alan ve yerli katkı oranı en az %40 olan malları,</w:t>
            </w:r>
          </w:p>
          <w:p w14:paraId="4674C8FD" w14:textId="77777777" w:rsidR="00CF7745" w:rsidRPr="00CF7745" w:rsidRDefault="00CF7745" w:rsidP="00CF7745">
            <w:pPr>
              <w:jc w:val="both"/>
            </w:pPr>
            <w:r w:rsidRPr="00CF7745">
              <w:t>• 87.03 G.T.İ.P. numarasında yer alan “- Yük taşımasında kullanılıp azami ağırlığı 3,5 tonu aşmayan ve yolcu taşıma kapasitesi (Yolcu taşıma kapasitesi sürücü dahil toplam yolcu sayısının 70 kilogramla çarpılması suretiyle hesaplanır. Bu hesaplamada koltuk olmasa dahi, koltuk montajı için bulunan sabit tertibatlar da koltuk olarak dikkate alınır) istiap haddinin (bir aracın güvenle taşıyabileceği sürücü ve yolcu dahil toplam yük ağırlığı) %50’sinin altında olan motorlu araçlardan (bütün tekerlekleri motordan güç alan veya alabilenler, binek otomobilleri, steyşın vagonlar, yarış arabaları, arazi taşıtları hariç)” satırındaki motorlu taşıtları,</w:t>
            </w:r>
          </w:p>
          <w:p w14:paraId="094F592C" w14:textId="77777777" w:rsidR="00CF7745" w:rsidRPr="00CF7745" w:rsidRDefault="00CF7745" w:rsidP="00CF7745">
            <w:pPr>
              <w:jc w:val="both"/>
            </w:pPr>
            <w:r w:rsidRPr="00CF7745">
              <w:t xml:space="preserve">• 87.04 G.T.İ.P. numarasında yer alan “Eşya taşımaya mahsus motorlu </w:t>
            </w:r>
            <w:proofErr w:type="spellStart"/>
            <w:r w:rsidRPr="00CF7745">
              <w:t>taşıtlar”ı</w:t>
            </w:r>
            <w:proofErr w:type="spellEnd"/>
            <w:r w:rsidRPr="00CF7745">
              <w:t>,</w:t>
            </w:r>
          </w:p>
          <w:p w14:paraId="441C967F" w14:textId="77777777" w:rsidR="00CF7745" w:rsidRPr="00CF7745" w:rsidRDefault="00CF7745" w:rsidP="00CF7745">
            <w:pPr>
              <w:jc w:val="both"/>
            </w:pPr>
            <w:r w:rsidRPr="00CF7745">
              <w:t>• 87.11 G.T.İ.P. numarasında yer alan “Motosikletler (</w:t>
            </w:r>
            <w:proofErr w:type="spellStart"/>
            <w:r w:rsidRPr="00CF7745">
              <w:t>mopedler</w:t>
            </w:r>
            <w:proofErr w:type="spellEnd"/>
            <w:r w:rsidRPr="00CF7745">
              <w:t xml:space="preserve"> dahil) ve bir yardımcı motoru bulunan tekerlekli taşıtlar (sepetli olsun olmasın); sepetler (sepetler hariç) (Sadece elektrik motorlu olanlar hariç</w:t>
            </w:r>
            <w:proofErr w:type="gramStart"/>
            <w:r w:rsidRPr="00CF7745">
              <w:t>)”i</w:t>
            </w:r>
            <w:proofErr w:type="gramEnd"/>
            <w:r w:rsidRPr="00CF7745">
              <w:t>,</w:t>
            </w:r>
          </w:p>
          <w:p w14:paraId="17C651BE" w14:textId="77777777" w:rsidR="00CF7745" w:rsidRPr="00CF7745" w:rsidRDefault="00CF7745" w:rsidP="00CF7745">
            <w:pPr>
              <w:jc w:val="both"/>
            </w:pPr>
            <w:proofErr w:type="gramStart"/>
            <w:r w:rsidRPr="00CF7745">
              <w:t>münhasıran</w:t>
            </w:r>
            <w:proofErr w:type="gramEnd"/>
            <w:r w:rsidRPr="00CF7745">
              <w:t xml:space="preserve"> millî savunma ve iç güvenlik ihtiyaçlarında kullanılmak üzere ilk iktisabı girmektedir.</w:t>
            </w:r>
          </w:p>
          <w:p w14:paraId="2E3AA411" w14:textId="77777777" w:rsidR="00CF7745" w:rsidRPr="00CF7745" w:rsidRDefault="00CF7745" w:rsidP="00CF7745">
            <w:pPr>
              <w:jc w:val="both"/>
            </w:pPr>
            <w:r w:rsidRPr="00CF7745">
              <w:t>Yerli katkı oranının tespitinde, Sanayi ve Teknoloji Bakanlığı tarafından yayınlanan güncel motorlu araçlar yerli katkı oranı beyanları esas alınır.</w:t>
            </w:r>
          </w:p>
          <w:p w14:paraId="1AB4E2F1" w14:textId="77777777" w:rsidR="00CF7745" w:rsidRPr="00CF7745" w:rsidRDefault="00CF7745" w:rsidP="00CF7745">
            <w:pPr>
              <w:jc w:val="both"/>
            </w:pPr>
            <w:r w:rsidRPr="00CF7745">
              <w:t>Taşıtların istisna kapsamında ulusal güvenlik kuruluşlarına teslimine yönelik olarak, ilgili ulusal güvenlik kuruluşu tarafından ÖTV mükellefine hitaplı bir yazı verilir. ÖTV mükellefleri tarafından, kendilerine verilen ve istisna talebini içeren yazı, 213 sayılı Vergi Usul Kanununun muhafaza ve ibraz hükümleri gereğince muhafaza edilir ve talep edilmesi halinde ibraz edilir. Ulusal güvenlik kuruluşları tarafından bu kapsamda ithalat yapılması halinde söz konusu yazı aranmaz.</w:t>
            </w:r>
          </w:p>
          <w:p w14:paraId="2872E4F6" w14:textId="77777777" w:rsidR="00CF7745" w:rsidRPr="00CF7745" w:rsidRDefault="00CF7745" w:rsidP="00CF7745">
            <w:pPr>
              <w:jc w:val="both"/>
            </w:pPr>
            <w:r w:rsidRPr="00CF7745">
              <w:t>İstisna kapsamındaki taşıtları ulusal güvenlik kuruluşlarına ilk iktisap kapsamında teslim edenler ile bu taşıtlara ait ithalat işlemlerini gerçekleştiren gümrük idareleri tarafından ÖTV uygulanmaksızın işlem yapılır. Ancak, söz konusu taşıtların ulusal güvenlik kuruluşlarınca milli savunma ve iç güvenlik ihtiyacına yönelik olmayan ilk iktisabı genel hükümler çerçevesinde vergilendirilir.</w:t>
            </w:r>
          </w:p>
          <w:p w14:paraId="5AC667B0" w14:textId="77777777" w:rsidR="00CF7745" w:rsidRPr="00CF7745" w:rsidRDefault="00CF7745" w:rsidP="00CF7745">
            <w:pPr>
              <w:jc w:val="both"/>
            </w:pPr>
            <w:r w:rsidRPr="00CF7745">
              <w:t>ÖTV mükellefleri, istisna kapsamındaki teslimlerinde hesaplanan ÖTV tutarını, fatura bedeline dâhil etmez, ancak fatura bedeline dâhil edilmeyen bu tutarı düzenlenen faturada “ÖTV Kanununun 7/3-ç Maddesi Kapsamında Hesaplanıp Fatura Bedeline Dâhil Edilmeyen ÖTV Tutarı ................ TL’dir.” şerhi ile gösterir.</w:t>
            </w:r>
          </w:p>
          <w:p w14:paraId="0884BF3B" w14:textId="77777777" w:rsidR="00CF7745" w:rsidRPr="00CF7745" w:rsidRDefault="00CF7745" w:rsidP="00CF7745">
            <w:pPr>
              <w:jc w:val="both"/>
            </w:pPr>
            <w:r w:rsidRPr="00CF7745">
              <w:lastRenderedPageBreak/>
              <w:t>İstisna uygulanarak teslim edilen taşıtlar için de mükellefler tarafından ÖTV beyannamesi verilir, ancak beyannamede ÖTV hesaplanmaz. Ulusal güvenlik kuruluşlarından alınan yazı ile satış faturasının aslının aynı olduğuna dair bir şerh verilerek kaşe tatbiki ve imzalanması suretiyle firma yetkililerince onaylı fotokopisi ÖTV mükelleflerince bir dilekçe ekinde beyannamenin verildiği vergi dairesine verilir.</w:t>
            </w:r>
          </w:p>
          <w:p w14:paraId="67A8EA50" w14:textId="77777777" w:rsidR="00CF7745" w:rsidRPr="00CF7745" w:rsidRDefault="00CF7745" w:rsidP="00CF7745">
            <w:pPr>
              <w:jc w:val="both"/>
            </w:pPr>
            <w:r w:rsidRPr="00CF7745">
              <w:t>Vergi dairesince, beyanname ve söz konusu belgeler incelenerek istisna uygulandığını gösteren, kayıt ve tescile tabi taşıtlara ait “ÖTV Ödeme Belgesi” mükellefe verilir.</w:t>
            </w:r>
          </w:p>
          <w:p w14:paraId="5631DB86" w14:textId="77777777" w:rsidR="00CF7745" w:rsidRPr="00CF7745" w:rsidRDefault="00CF7745" w:rsidP="00CF7745">
            <w:pPr>
              <w:jc w:val="both"/>
            </w:pPr>
            <w:r w:rsidRPr="00CF7745">
              <w:rPr>
                <w:b/>
                <w:bCs/>
              </w:rPr>
              <w:t>5.3. Sorumluluk</w:t>
            </w:r>
          </w:p>
          <w:p w14:paraId="51BF8310" w14:textId="77777777" w:rsidR="00CF7745" w:rsidRPr="00CF7745" w:rsidRDefault="00CF7745" w:rsidP="00CF7745">
            <w:pPr>
              <w:jc w:val="both"/>
            </w:pPr>
            <w:r w:rsidRPr="00CF7745">
              <w:t xml:space="preserve">Bu istisna uygulamasında, belirlenen usul ve esaslara uygun olmayacak şekilde işlem tesis edilmesi veya istisna şartlarını haiz olmayan taşıt teslim edilmesi ya da ithal edilmesi hallerinde ziyaa uğratılan vergi, vergi ziyaı cezası ve faizlerden teslimi yapan mükellef ve gümrük idaresiyle birlikte teslim yapılan alıcı da </w:t>
            </w:r>
            <w:proofErr w:type="spellStart"/>
            <w:r w:rsidRPr="00CF7745">
              <w:t>müteselsilen</w:t>
            </w:r>
            <w:proofErr w:type="spellEnd"/>
            <w:r w:rsidRPr="00CF7745">
              <w:t xml:space="preserve"> sorumludur.</w:t>
            </w:r>
          </w:p>
          <w:p w14:paraId="3B13DF6B" w14:textId="77777777" w:rsidR="00CF7745" w:rsidRPr="00CF7745" w:rsidRDefault="00CF7745" w:rsidP="00CF7745">
            <w:pPr>
              <w:jc w:val="both"/>
            </w:pPr>
            <w:r w:rsidRPr="00CF7745">
              <w:t>Taşıtın tesliminden sonra istisna şartlarının ihlal edildiğinin tespiti halinde, ziyaa uğratılan vergi ile buna bağlı ceza, faiz ve zamlar, kendisine istisna kapsamında teslim yapılan alıcıdan aranır.”</w:t>
            </w:r>
          </w:p>
          <w:p w14:paraId="046EE736" w14:textId="77777777" w:rsidR="00CF7745" w:rsidRPr="00CF7745" w:rsidRDefault="00CF7745" w:rsidP="00CF7745">
            <w:pPr>
              <w:jc w:val="both"/>
            </w:pPr>
            <w:r w:rsidRPr="00CF7745">
              <w:rPr>
                <w:b/>
                <w:bCs/>
              </w:rPr>
              <w:t>MADDE 2-</w:t>
            </w:r>
            <w:r w:rsidRPr="00CF7745">
              <w:t> Aynı Tebliğin mevcut (II/C/6.2) bölümünde yer alan “(II/C/6.3.)” ibaresi “(II/C/7.3)” olarak değiştirilmiştir.</w:t>
            </w:r>
          </w:p>
          <w:p w14:paraId="2DA8C634" w14:textId="77777777" w:rsidR="00CF7745" w:rsidRPr="00CF7745" w:rsidRDefault="00CF7745" w:rsidP="00CF7745">
            <w:pPr>
              <w:jc w:val="both"/>
            </w:pPr>
            <w:r w:rsidRPr="00CF7745">
              <w:rPr>
                <w:b/>
                <w:bCs/>
              </w:rPr>
              <w:t>MADDE 3-</w:t>
            </w:r>
            <w:r w:rsidRPr="00CF7745">
              <w:t> Aynı Tebliğin mevcut (II/C/6.4) bölümünün birinci paragrafında yer alan “(II/C/6.3)” ibaresi “(II/C/7.3)” olarak değiştirilmiştir.</w:t>
            </w:r>
          </w:p>
          <w:p w14:paraId="3EC88C96" w14:textId="77777777" w:rsidR="00CF7745" w:rsidRPr="00CF7745" w:rsidRDefault="00CF7745" w:rsidP="00CF7745">
            <w:pPr>
              <w:jc w:val="both"/>
            </w:pPr>
            <w:r w:rsidRPr="00CF7745">
              <w:rPr>
                <w:b/>
                <w:bCs/>
              </w:rPr>
              <w:t>MADDE 4-</w:t>
            </w:r>
            <w:r w:rsidRPr="00CF7745">
              <w:t> Aynı Tebliğin (III/B/1) bölümünün üçüncü paragrafında yer alan “motor gücü,” ibaresinden sonra gelmek üzere “motor silindir hacmi, menzili, batarya kapasitesi,” ibaresi eklenmiştir.</w:t>
            </w:r>
          </w:p>
          <w:p w14:paraId="2EC62C36" w14:textId="77777777" w:rsidR="00CF7745" w:rsidRPr="00CF7745" w:rsidRDefault="00CF7745" w:rsidP="00CF7745">
            <w:pPr>
              <w:jc w:val="both"/>
            </w:pPr>
            <w:r w:rsidRPr="00CF7745">
              <w:rPr>
                <w:b/>
                <w:bCs/>
              </w:rPr>
              <w:t>MADDE 5-</w:t>
            </w:r>
            <w:r w:rsidRPr="00CF7745">
              <w:t> Aynı Tebliğin (III/B/2.3) bölümünün ikinci paragrafının son cümlesi yürürlükten kaldırılmıştır.</w:t>
            </w:r>
          </w:p>
          <w:p w14:paraId="039AE5AB" w14:textId="77777777" w:rsidR="00CF7745" w:rsidRPr="00CF7745" w:rsidRDefault="00CF7745" w:rsidP="00CF7745">
            <w:pPr>
              <w:jc w:val="both"/>
            </w:pPr>
            <w:r w:rsidRPr="00CF7745">
              <w:rPr>
                <w:b/>
                <w:bCs/>
              </w:rPr>
              <w:t>MADDE 6-</w:t>
            </w:r>
            <w:r w:rsidRPr="00CF7745">
              <w:t> Aynı Tebliğin (III/B/2.9) bölümünden sonra gelmek üzere başlığıyla birlikte aşağıdaki bölüm eklenmiştir.</w:t>
            </w:r>
          </w:p>
          <w:p w14:paraId="686980A0" w14:textId="77777777" w:rsidR="00CF7745" w:rsidRPr="00CF7745" w:rsidRDefault="00CF7745" w:rsidP="00CF7745">
            <w:pPr>
              <w:jc w:val="both"/>
            </w:pPr>
            <w:r w:rsidRPr="00CF7745">
              <w:t>“</w:t>
            </w:r>
            <w:r w:rsidRPr="00CF7745">
              <w:rPr>
                <w:b/>
                <w:bCs/>
              </w:rPr>
              <w:t>2.10. Arazi Taşıtı</w:t>
            </w:r>
          </w:p>
          <w:p w14:paraId="32785A1C" w14:textId="77777777" w:rsidR="00CF7745" w:rsidRPr="00CF7745" w:rsidRDefault="00CF7745" w:rsidP="00CF7745">
            <w:pPr>
              <w:jc w:val="both"/>
            </w:pPr>
            <w:r w:rsidRPr="00CF7745">
              <w:t>(II) sayılı liste uygulamasında, arazi taşıtları, karayollarında yolcu veya yük taşıyabilecek şekilde imal edilmiş olmakla beraber bütün tekerlekleri motordan güç alan veya alabilen motorlu taşıtlardır.</w:t>
            </w:r>
          </w:p>
          <w:p w14:paraId="4E25B1CC" w14:textId="77777777" w:rsidR="00CF7745" w:rsidRPr="00CF7745" w:rsidRDefault="00CF7745" w:rsidP="00CF7745">
            <w:pPr>
              <w:jc w:val="both"/>
            </w:pPr>
            <w:r w:rsidRPr="00CF7745">
              <w:t>87.04 tarife pozisyonu sırasında yer alan, azami yüklü kütlesi 3500 kilogramı geçmeyen (N1 sınıfı) arazi taşıtı (G sınıfı) olarak N1G sınıfındaki araçlar kabul edilir.”</w:t>
            </w:r>
          </w:p>
          <w:p w14:paraId="1722BFD8" w14:textId="77777777" w:rsidR="00CF7745" w:rsidRPr="00CF7745" w:rsidRDefault="00CF7745" w:rsidP="00CF7745">
            <w:pPr>
              <w:jc w:val="both"/>
            </w:pPr>
            <w:r w:rsidRPr="00CF7745">
              <w:rPr>
                <w:b/>
                <w:bCs/>
              </w:rPr>
              <w:t>MADDE 7-</w:t>
            </w:r>
            <w:r w:rsidRPr="00CF7745">
              <w:t> Aynı Tebliğin (IV/D) bölümünün ikinci paragrafında yer alan “Tasfiye Hizmetleri Genel Müdürlüğü” ibaresinden sonra gelmek üzere “, Özelleştirme İdaresi Başkanlığı” ibaresi eklenmiştir.</w:t>
            </w:r>
          </w:p>
          <w:p w14:paraId="2B26880E" w14:textId="77777777" w:rsidR="00CF7745" w:rsidRPr="00CF7745" w:rsidRDefault="00CF7745" w:rsidP="00CF7745">
            <w:pPr>
              <w:jc w:val="both"/>
            </w:pPr>
            <w:r w:rsidRPr="00CF7745">
              <w:rPr>
                <w:b/>
                <w:bCs/>
              </w:rPr>
              <w:t>MADDE 8-</w:t>
            </w:r>
            <w:r w:rsidRPr="00CF7745">
              <w:t> Bu Tebliğ yayımı tarihinde yürürlüğe girer.</w:t>
            </w:r>
          </w:p>
          <w:p w14:paraId="003E389D" w14:textId="77777777" w:rsidR="00CF7745" w:rsidRPr="00CF7745" w:rsidRDefault="00CF7745" w:rsidP="00CF7745">
            <w:pPr>
              <w:jc w:val="both"/>
            </w:pPr>
            <w:r w:rsidRPr="00CF7745">
              <w:rPr>
                <w:b/>
                <w:bCs/>
              </w:rPr>
              <w:t>MADDE 9-</w:t>
            </w:r>
            <w:r w:rsidRPr="00CF7745">
              <w:t> Bu Tebliğ hükümlerini Hazine ve Maliye Bakanı yürütür.</w:t>
            </w:r>
          </w:p>
          <w:p w14:paraId="6E0E8300" w14:textId="77777777" w:rsidR="00CF7745" w:rsidRPr="00CF7745" w:rsidRDefault="00CF7745" w:rsidP="00CF7745">
            <w:pPr>
              <w:jc w:val="both"/>
            </w:pPr>
            <w:r w:rsidRPr="00CF7745">
              <w:rPr>
                <w:b/>
                <w:bCs/>
              </w:rPr>
              <w:t> </w:t>
            </w:r>
          </w:p>
        </w:tc>
      </w:tr>
    </w:tbl>
    <w:p w14:paraId="6958C10E" w14:textId="77777777" w:rsidR="00F40434" w:rsidRDefault="00F40434" w:rsidP="00CF7745">
      <w:pPr>
        <w:jc w:val="both"/>
      </w:pPr>
    </w:p>
    <w:sectPr w:rsidR="00F404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745"/>
    <w:rsid w:val="00164995"/>
    <w:rsid w:val="001A16B7"/>
    <w:rsid w:val="005F324D"/>
    <w:rsid w:val="0068156B"/>
    <w:rsid w:val="006E71F2"/>
    <w:rsid w:val="0074731E"/>
    <w:rsid w:val="00CF7745"/>
    <w:rsid w:val="00F40434"/>
    <w:rsid w:val="00F6226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B9B02"/>
  <w15:chartTrackingRefBased/>
  <w15:docId w15:val="{C0CFD4D3-F73B-4B06-9E4D-040AC4029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64995"/>
    <w:pPr>
      <w:outlineLvl w:val="0"/>
    </w:pPr>
    <w:rPr>
      <w:rFonts w:ascii="Tahoma" w:hAnsi="Tahoma" w:cs="Tahoma"/>
      <w:color w:val="A5C9EB" w:themeColor="text2" w:themeTint="40"/>
      <w:sz w:val="26"/>
      <w:szCs w:val="26"/>
    </w:rPr>
  </w:style>
  <w:style w:type="paragraph" w:styleId="Balk2">
    <w:name w:val="heading 2"/>
    <w:basedOn w:val="Normal"/>
    <w:next w:val="Normal"/>
    <w:link w:val="Balk2Char"/>
    <w:uiPriority w:val="9"/>
    <w:semiHidden/>
    <w:unhideWhenUsed/>
    <w:qFormat/>
    <w:rsid w:val="00CF77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CF774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CF774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CF774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CF774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F774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F774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F774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64995"/>
    <w:rPr>
      <w:rFonts w:ascii="Tahoma" w:hAnsi="Tahoma" w:cs="Tahoma"/>
      <w:color w:val="A5C9EB" w:themeColor="text2" w:themeTint="40"/>
      <w:sz w:val="26"/>
      <w:szCs w:val="26"/>
    </w:rPr>
  </w:style>
  <w:style w:type="character" w:customStyle="1" w:styleId="Balk2Char">
    <w:name w:val="Başlık 2 Char"/>
    <w:basedOn w:val="VarsaylanParagrafYazTipi"/>
    <w:link w:val="Balk2"/>
    <w:uiPriority w:val="9"/>
    <w:semiHidden/>
    <w:rsid w:val="00CF774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CF774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F774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CF774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CF774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F774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F774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F7745"/>
    <w:rPr>
      <w:rFonts w:eastAsiaTheme="majorEastAsia" w:cstheme="majorBidi"/>
      <w:color w:val="272727" w:themeColor="text1" w:themeTint="D8"/>
    </w:rPr>
  </w:style>
  <w:style w:type="paragraph" w:styleId="KonuBal">
    <w:name w:val="Title"/>
    <w:basedOn w:val="Normal"/>
    <w:next w:val="Normal"/>
    <w:link w:val="KonuBalChar"/>
    <w:uiPriority w:val="10"/>
    <w:qFormat/>
    <w:rsid w:val="00CF77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F774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F774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F774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F774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F7745"/>
    <w:rPr>
      <w:i/>
      <w:iCs/>
      <w:color w:val="404040" w:themeColor="text1" w:themeTint="BF"/>
    </w:rPr>
  </w:style>
  <w:style w:type="paragraph" w:styleId="ListeParagraf">
    <w:name w:val="List Paragraph"/>
    <w:basedOn w:val="Normal"/>
    <w:uiPriority w:val="34"/>
    <w:qFormat/>
    <w:rsid w:val="00CF7745"/>
    <w:pPr>
      <w:ind w:left="720"/>
      <w:contextualSpacing/>
    </w:pPr>
  </w:style>
  <w:style w:type="character" w:styleId="GlVurgulama">
    <w:name w:val="Intense Emphasis"/>
    <w:basedOn w:val="VarsaylanParagrafYazTipi"/>
    <w:uiPriority w:val="21"/>
    <w:qFormat/>
    <w:rsid w:val="00CF7745"/>
    <w:rPr>
      <w:i/>
      <w:iCs/>
      <w:color w:val="0F4761" w:themeColor="accent1" w:themeShade="BF"/>
    </w:rPr>
  </w:style>
  <w:style w:type="paragraph" w:styleId="GlAlnt">
    <w:name w:val="Intense Quote"/>
    <w:basedOn w:val="Normal"/>
    <w:next w:val="Normal"/>
    <w:link w:val="GlAlntChar"/>
    <w:uiPriority w:val="30"/>
    <w:qFormat/>
    <w:rsid w:val="00CF77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CF7745"/>
    <w:rPr>
      <w:i/>
      <w:iCs/>
      <w:color w:val="0F4761" w:themeColor="accent1" w:themeShade="BF"/>
    </w:rPr>
  </w:style>
  <w:style w:type="character" w:styleId="GlBavuru">
    <w:name w:val="Intense Reference"/>
    <w:basedOn w:val="VarsaylanParagrafYazTipi"/>
    <w:uiPriority w:val="32"/>
    <w:qFormat/>
    <w:rsid w:val="00CF77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1054</Words>
  <Characters>6013</Characters>
  <Application>Microsoft Office Word</Application>
  <DocSecurity>4</DocSecurity>
  <Lines>50</Lines>
  <Paragraphs>14</Paragraphs>
  <ScaleCrop>false</ScaleCrop>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 Uzun</dc:creator>
  <cp:keywords/>
  <dc:description/>
  <cp:lastModifiedBy>Cem Tezelman</cp:lastModifiedBy>
  <cp:revision>2</cp:revision>
  <dcterms:created xsi:type="dcterms:W3CDTF">2025-09-05T10:41:00Z</dcterms:created>
  <dcterms:modified xsi:type="dcterms:W3CDTF">2025-09-05T10:41:00Z</dcterms:modified>
</cp:coreProperties>
</file>